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971"/>
        <w:tblW w:w="10526" w:type="dxa"/>
        <w:tblLook w:val="04A0" w:firstRow="1" w:lastRow="0" w:firstColumn="1" w:lastColumn="0" w:noHBand="0" w:noVBand="1"/>
      </w:tblPr>
      <w:tblGrid>
        <w:gridCol w:w="1622"/>
        <w:gridCol w:w="919"/>
        <w:gridCol w:w="880"/>
        <w:gridCol w:w="880"/>
        <w:gridCol w:w="893"/>
        <w:gridCol w:w="880"/>
        <w:gridCol w:w="880"/>
        <w:gridCol w:w="893"/>
        <w:gridCol w:w="893"/>
        <w:gridCol w:w="893"/>
        <w:gridCol w:w="893"/>
      </w:tblGrid>
      <w:tr w:rsidR="00223339" w:rsidRPr="00223339" w:rsidTr="00223339">
        <w:trPr>
          <w:trHeight w:val="230"/>
        </w:trPr>
        <w:tc>
          <w:tcPr>
            <w:tcW w:w="10526" w:type="dxa"/>
            <w:gridSpan w:val="11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READING CCSS DOK LEVELS</w:t>
            </w:r>
          </w:p>
        </w:tc>
      </w:tr>
      <w:tr w:rsidR="00223339" w:rsidRPr="00223339" w:rsidTr="00223339">
        <w:trPr>
          <w:trHeight w:val="372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Literature Standard</w:t>
            </w:r>
            <w:r w:rsidR="00107D84">
              <w:rPr>
                <w:rFonts w:asciiTheme="minorHAnsi" w:eastAsiaTheme="minorHAnsi" w:hAnsiTheme="minorHAnsi" w:cstheme="minorBidi"/>
                <w:b/>
              </w:rPr>
              <w:t>s</w:t>
            </w:r>
          </w:p>
        </w:tc>
        <w:tc>
          <w:tcPr>
            <w:tcW w:w="919" w:type="dxa"/>
            <w:shd w:val="clear" w:color="auto" w:fill="EEECE1" w:themeFill="background2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Kinder</w:t>
            </w:r>
          </w:p>
        </w:tc>
        <w:tc>
          <w:tcPr>
            <w:tcW w:w="880" w:type="dxa"/>
            <w:shd w:val="clear" w:color="auto" w:fill="FFB7B7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1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2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3</w:t>
            </w:r>
          </w:p>
        </w:tc>
        <w:tc>
          <w:tcPr>
            <w:tcW w:w="880" w:type="dxa"/>
            <w:shd w:val="clear" w:color="auto" w:fill="FFFFCC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5</w:t>
            </w:r>
          </w:p>
        </w:tc>
        <w:tc>
          <w:tcPr>
            <w:tcW w:w="893" w:type="dxa"/>
            <w:shd w:val="clear" w:color="auto" w:fill="FDE9D9" w:themeFill="accent6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7</w:t>
            </w:r>
          </w:p>
        </w:tc>
        <w:tc>
          <w:tcPr>
            <w:tcW w:w="893" w:type="dxa"/>
            <w:shd w:val="clear" w:color="auto" w:fill="E5DFEC" w:themeFill="accent4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8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Grade 11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1-2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</w:tr>
      <w:tr w:rsidR="00223339" w:rsidRPr="00223339" w:rsidTr="00223339">
        <w:trPr>
          <w:trHeight w:val="248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</w:tr>
      <w:tr w:rsidR="00223339" w:rsidRPr="00223339" w:rsidTr="00223339">
        <w:trPr>
          <w:trHeight w:val="248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3-4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179"/>
        </w:trPr>
        <w:tc>
          <w:tcPr>
            <w:tcW w:w="10526" w:type="dxa"/>
            <w:gridSpan w:val="11"/>
            <w:shd w:val="clear" w:color="auto" w:fill="0D0D0D" w:themeFill="text1" w:themeFillTint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</w:tr>
      <w:tr w:rsidR="00223339" w:rsidRPr="00223339" w:rsidTr="00223339">
        <w:trPr>
          <w:trHeight w:val="372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Informational</w:t>
            </w:r>
          </w:p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Standard</w:t>
            </w:r>
            <w:r w:rsidR="00107D84">
              <w:rPr>
                <w:rFonts w:asciiTheme="minorHAnsi" w:eastAsiaTheme="minorHAnsi" w:hAnsiTheme="minorHAnsi" w:cstheme="minorBidi"/>
                <w:b/>
              </w:rPr>
              <w:t>s</w:t>
            </w:r>
          </w:p>
        </w:tc>
        <w:tc>
          <w:tcPr>
            <w:tcW w:w="919" w:type="dxa"/>
            <w:shd w:val="clear" w:color="auto" w:fill="EEECE1" w:themeFill="background2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Kinder</w:t>
            </w:r>
          </w:p>
        </w:tc>
        <w:tc>
          <w:tcPr>
            <w:tcW w:w="880" w:type="dxa"/>
            <w:shd w:val="clear" w:color="auto" w:fill="FFB7B7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1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2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3</w:t>
            </w:r>
          </w:p>
        </w:tc>
        <w:tc>
          <w:tcPr>
            <w:tcW w:w="880" w:type="dxa"/>
            <w:shd w:val="clear" w:color="auto" w:fill="FFFFCC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4</w:t>
            </w:r>
          </w:p>
        </w:tc>
        <w:tc>
          <w:tcPr>
            <w:tcW w:w="893" w:type="dxa"/>
            <w:shd w:val="clear" w:color="auto" w:fill="FDE9D9" w:themeFill="accent6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7</w:t>
            </w:r>
          </w:p>
        </w:tc>
        <w:tc>
          <w:tcPr>
            <w:tcW w:w="893" w:type="dxa"/>
            <w:shd w:val="clear" w:color="auto" w:fill="E5DFEC" w:themeFill="accent4" w:themeFillTint="33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8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Grade 11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2-3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tabs>
                <w:tab w:val="left" w:pos="300"/>
                <w:tab w:val="center" w:pos="387"/>
              </w:tabs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48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2-3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30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  <w:tr w:rsidR="00223339" w:rsidRPr="00223339" w:rsidTr="00223339">
        <w:trPr>
          <w:trHeight w:val="248"/>
        </w:trPr>
        <w:tc>
          <w:tcPr>
            <w:tcW w:w="1622" w:type="dxa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EEECE1" w:themeFill="background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880" w:type="dxa"/>
            <w:shd w:val="clear" w:color="auto" w:fill="FFB7B7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2333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223339" w:rsidRPr="00223339" w:rsidRDefault="00223339" w:rsidP="0022333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2333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3-4</w:t>
            </w:r>
          </w:p>
        </w:tc>
      </w:tr>
    </w:tbl>
    <w:p w:rsidR="00D95D00" w:rsidRDefault="00D95D00"/>
    <w:p w:rsidR="00223339" w:rsidRPr="00F931C7" w:rsidRDefault="00223339" w:rsidP="00223339">
      <w:pPr>
        <w:spacing w:after="0" w:line="240" w:lineRule="auto"/>
        <w:rPr>
          <w:b/>
          <w:i/>
          <w:sz w:val="18"/>
          <w:szCs w:val="18"/>
        </w:rPr>
      </w:pPr>
      <w:r w:rsidRPr="00F931C7">
        <w:rPr>
          <w:b/>
          <w:i/>
          <w:sz w:val="18"/>
          <w:szCs w:val="18"/>
        </w:rPr>
        <w:t>DOK-1</w:t>
      </w:r>
    </w:p>
    <w:p w:rsidR="00223339" w:rsidRPr="00F931C7" w:rsidRDefault="00F931C7" w:rsidP="00223339">
      <w:pPr>
        <w:spacing w:after="0" w:line="240" w:lineRule="auto"/>
        <w:rPr>
          <w:sz w:val="18"/>
          <w:szCs w:val="18"/>
        </w:rPr>
      </w:pPr>
      <w:r w:rsidRPr="00F931C7">
        <w:rPr>
          <w:rFonts w:eastAsia="+mn-ea" w:cs="+mn-cs"/>
          <w:color w:val="000000"/>
          <w:kern w:val="24"/>
          <w:sz w:val="18"/>
          <w:szCs w:val="18"/>
        </w:rPr>
        <w:t>Key Details, F</w:t>
      </w:r>
      <w:r w:rsidRPr="00F931C7">
        <w:rPr>
          <w:rFonts w:eastAsia="+mn-ea" w:cs="+mn-cs"/>
          <w:color w:val="000000"/>
          <w:kern w:val="24"/>
          <w:sz w:val="18"/>
          <w:szCs w:val="18"/>
        </w:rPr>
        <w:t xml:space="preserve">acts, Words, Terms, Events. </w:t>
      </w:r>
      <w:r w:rsidR="00223339" w:rsidRPr="00F931C7">
        <w:rPr>
          <w:sz w:val="18"/>
          <w:szCs w:val="18"/>
        </w:rPr>
        <w:t>These questions or tasks require students to go to the source or recall information and are one –step DOK-1 questions.  Student</w:t>
      </w:r>
      <w:r w:rsidR="00223339" w:rsidRPr="00F931C7">
        <w:rPr>
          <w:sz w:val="18"/>
          <w:szCs w:val="18"/>
        </w:rPr>
        <w:t xml:space="preserve">s do one thing.  The answer is </w:t>
      </w:r>
      <w:r w:rsidR="00223339" w:rsidRPr="00F931C7">
        <w:rPr>
          <w:sz w:val="18"/>
          <w:szCs w:val="18"/>
        </w:rPr>
        <w:t>either right or wrong.</w:t>
      </w:r>
      <w:r w:rsidR="00223339" w:rsidRPr="00F931C7">
        <w:rPr>
          <w:sz w:val="18"/>
          <w:szCs w:val="18"/>
        </w:rPr>
        <w:tab/>
      </w:r>
    </w:p>
    <w:p w:rsidR="00223339" w:rsidRPr="00F931C7" w:rsidRDefault="00223339" w:rsidP="00223339">
      <w:pPr>
        <w:spacing w:after="0" w:line="240" w:lineRule="auto"/>
        <w:rPr>
          <w:sz w:val="18"/>
          <w:szCs w:val="18"/>
        </w:rPr>
      </w:pPr>
    </w:p>
    <w:p w:rsidR="00223339" w:rsidRPr="00F931C7" w:rsidRDefault="00223339" w:rsidP="00223339">
      <w:pPr>
        <w:spacing w:after="0" w:line="240" w:lineRule="auto"/>
        <w:rPr>
          <w:b/>
          <w:i/>
          <w:sz w:val="18"/>
          <w:szCs w:val="18"/>
        </w:rPr>
      </w:pPr>
      <w:r w:rsidRPr="00F931C7">
        <w:rPr>
          <w:b/>
          <w:i/>
          <w:sz w:val="18"/>
          <w:szCs w:val="18"/>
        </w:rPr>
        <w:t>DOK-2</w:t>
      </w:r>
    </w:p>
    <w:p w:rsidR="00223339" w:rsidRPr="00F931C7" w:rsidRDefault="00223339" w:rsidP="00223339">
      <w:pPr>
        <w:spacing w:after="0" w:line="240" w:lineRule="auto"/>
        <w:rPr>
          <w:sz w:val="18"/>
          <w:szCs w:val="18"/>
        </w:rPr>
      </w:pPr>
      <w:r w:rsidRPr="00F931C7">
        <w:rPr>
          <w:sz w:val="18"/>
          <w:szCs w:val="18"/>
        </w:rPr>
        <w:t>These are not stand alone concepts. They are broader.  They require</w:t>
      </w:r>
      <w:r w:rsidRPr="00F931C7">
        <w:rPr>
          <w:sz w:val="18"/>
          <w:szCs w:val="18"/>
        </w:rPr>
        <w:t xml:space="preserve"> </w:t>
      </w:r>
      <w:r w:rsidR="00107D84" w:rsidRPr="00F931C7">
        <w:rPr>
          <w:sz w:val="18"/>
          <w:szCs w:val="18"/>
        </w:rPr>
        <w:t xml:space="preserve">the skills of specifying, </w:t>
      </w:r>
      <w:r w:rsidRPr="00F931C7">
        <w:rPr>
          <w:sz w:val="18"/>
          <w:szCs w:val="18"/>
        </w:rPr>
        <w:t>explaining, showing, summarizing, logically inferring, identifying, predicting and showing explicit generalizations using two-</w:t>
      </w:r>
      <w:r w:rsidR="00107D84" w:rsidRPr="00F931C7">
        <w:rPr>
          <w:sz w:val="18"/>
          <w:szCs w:val="18"/>
        </w:rPr>
        <w:t>steps (</w:t>
      </w:r>
      <w:r w:rsidRPr="00F931C7">
        <w:rPr>
          <w:sz w:val="18"/>
          <w:szCs w:val="18"/>
        </w:rPr>
        <w:t xml:space="preserve">1) locating and selecting those stand-alone pieces of information (DOK-1 facts, terms, words, </w:t>
      </w:r>
      <w:r w:rsidR="00107D84" w:rsidRPr="00F931C7">
        <w:rPr>
          <w:sz w:val="18"/>
          <w:szCs w:val="18"/>
        </w:rPr>
        <w:t>etc.</w:t>
      </w:r>
      <w:r w:rsidRPr="00F931C7">
        <w:rPr>
          <w:sz w:val="18"/>
          <w:szCs w:val="18"/>
        </w:rPr>
        <w:t xml:space="preserve">…) to (2) identify and verify the correct answer.  </w:t>
      </w:r>
      <w:r w:rsidRPr="00F931C7">
        <w:rPr>
          <w:sz w:val="18"/>
          <w:szCs w:val="18"/>
        </w:rPr>
        <w:tab/>
      </w:r>
    </w:p>
    <w:p w:rsidR="00223339" w:rsidRPr="00F931C7" w:rsidRDefault="00223339" w:rsidP="00223339">
      <w:pPr>
        <w:spacing w:after="0" w:line="240" w:lineRule="auto"/>
        <w:rPr>
          <w:sz w:val="18"/>
          <w:szCs w:val="18"/>
        </w:rPr>
      </w:pPr>
    </w:p>
    <w:p w:rsidR="00223339" w:rsidRPr="00F931C7" w:rsidRDefault="00223339" w:rsidP="00223339">
      <w:pPr>
        <w:spacing w:after="0" w:line="240" w:lineRule="auto"/>
        <w:rPr>
          <w:b/>
          <w:i/>
          <w:sz w:val="18"/>
          <w:szCs w:val="18"/>
        </w:rPr>
      </w:pPr>
      <w:r w:rsidRPr="00F931C7">
        <w:rPr>
          <w:b/>
          <w:i/>
          <w:sz w:val="18"/>
          <w:szCs w:val="18"/>
        </w:rPr>
        <w:t>DOK-3</w:t>
      </w:r>
    </w:p>
    <w:p w:rsidR="00D95D00" w:rsidRPr="00F931C7" w:rsidRDefault="00223339" w:rsidP="00223339">
      <w:pPr>
        <w:spacing w:after="0" w:line="240" w:lineRule="auto"/>
        <w:rPr>
          <w:sz w:val="18"/>
          <w:szCs w:val="18"/>
        </w:rPr>
      </w:pPr>
      <w:r w:rsidRPr="00F931C7">
        <w:rPr>
          <w:sz w:val="18"/>
          <w:szCs w:val="18"/>
        </w:rPr>
        <w:t xml:space="preserve">These concepts move students into reasoning. They require the skills of explaining, generalizing, connecting, describing the effects of, solving and interpreting. </w:t>
      </w:r>
      <w:r w:rsidR="00F931C7" w:rsidRPr="00F931C7">
        <w:rPr>
          <w:sz w:val="18"/>
          <w:szCs w:val="18"/>
        </w:rPr>
        <w:t xml:space="preserve">Evidence, Quotes, Examples, References, Word Choices, Points of View, Bias, Purpose, New Problems, Conclusions, Generalizations, Conjectures.  </w:t>
      </w:r>
      <w:r w:rsidRPr="00F931C7">
        <w:rPr>
          <w:sz w:val="18"/>
          <w:szCs w:val="18"/>
        </w:rPr>
        <w:t>DOK-3, three -step questions are aski</w:t>
      </w:r>
      <w:r w:rsidRPr="00F931C7">
        <w:rPr>
          <w:sz w:val="18"/>
          <w:szCs w:val="18"/>
        </w:rPr>
        <w:t xml:space="preserve">ng students </w:t>
      </w:r>
      <w:r w:rsidR="00107D84" w:rsidRPr="00F931C7">
        <w:rPr>
          <w:sz w:val="18"/>
          <w:szCs w:val="18"/>
        </w:rPr>
        <w:t>to (</w:t>
      </w:r>
      <w:r w:rsidRPr="00F931C7">
        <w:rPr>
          <w:sz w:val="18"/>
          <w:szCs w:val="18"/>
        </w:rPr>
        <w:t>1) explain “HOW” the two-step questions are connected [how are the key details helping us identify the main idea?   How do the illustrations in the text con</w:t>
      </w:r>
      <w:r w:rsidRPr="00F931C7">
        <w:rPr>
          <w:sz w:val="18"/>
          <w:szCs w:val="18"/>
        </w:rPr>
        <w:t xml:space="preserve">tribute more to the story?] (2) </w:t>
      </w:r>
      <w:proofErr w:type="gramStart"/>
      <w:r w:rsidRPr="00F931C7">
        <w:rPr>
          <w:sz w:val="18"/>
          <w:szCs w:val="18"/>
        </w:rPr>
        <w:t>show</w:t>
      </w:r>
      <w:proofErr w:type="gramEnd"/>
      <w:r w:rsidRPr="00F931C7">
        <w:rPr>
          <w:sz w:val="18"/>
          <w:szCs w:val="18"/>
        </w:rPr>
        <w:t xml:space="preserve"> how they solved the question using words, pictures, graphic organizers and (3) draw and justify a conclusion.</w:t>
      </w:r>
      <w:r w:rsidRPr="00F931C7">
        <w:rPr>
          <w:sz w:val="18"/>
          <w:szCs w:val="18"/>
        </w:rPr>
        <w:tab/>
      </w:r>
    </w:p>
    <w:p w:rsidR="00223339" w:rsidRPr="00F931C7" w:rsidRDefault="00223339" w:rsidP="00223339">
      <w:pPr>
        <w:spacing w:after="0" w:line="240" w:lineRule="auto"/>
        <w:rPr>
          <w:sz w:val="18"/>
          <w:szCs w:val="18"/>
        </w:rPr>
      </w:pPr>
    </w:p>
    <w:p w:rsidR="00223339" w:rsidRPr="00F931C7" w:rsidRDefault="00223339" w:rsidP="00223339">
      <w:pPr>
        <w:spacing w:after="0" w:line="240" w:lineRule="auto"/>
        <w:rPr>
          <w:b/>
          <w:i/>
          <w:sz w:val="18"/>
          <w:szCs w:val="18"/>
        </w:rPr>
      </w:pPr>
      <w:r w:rsidRPr="00F931C7">
        <w:rPr>
          <w:b/>
          <w:i/>
          <w:sz w:val="18"/>
          <w:szCs w:val="18"/>
        </w:rPr>
        <w:t>DOK-4</w:t>
      </w:r>
    </w:p>
    <w:p w:rsidR="002254A9" w:rsidRPr="00F931C7" w:rsidRDefault="00F931C7" w:rsidP="00F931C7">
      <w:pPr>
        <w:spacing w:after="0" w:line="240" w:lineRule="auto"/>
        <w:rPr>
          <w:sz w:val="18"/>
          <w:szCs w:val="18"/>
        </w:rPr>
      </w:pPr>
      <w:r w:rsidRPr="00F931C7">
        <w:rPr>
          <w:sz w:val="18"/>
          <w:szCs w:val="18"/>
        </w:rPr>
        <w:t>Students use prior knowledge, concepts and strategic thinking in a 4 step process. Synthesizing Information Across domains, Real-world, Creating Alternatives, Analyzing Multiple Sources and Complex Themes and Evaluating Relevancy. DOK-4 four step questions are asking students to (1) compare a previous conclusion using multiple sources in order to (2) confirm its accuracy.  Taking the confirmed conclusion students (3) extend that information across other domains in order to (4) solve a new problem in a new way.</w:t>
      </w:r>
      <w:bookmarkStart w:id="0" w:name="_GoBack"/>
      <w:bookmarkEnd w:id="0"/>
    </w:p>
    <w:sectPr w:rsidR="002254A9" w:rsidRPr="00F9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0"/>
    <w:rsid w:val="00107D84"/>
    <w:rsid w:val="001F729C"/>
    <w:rsid w:val="00223339"/>
    <w:rsid w:val="002254A9"/>
    <w:rsid w:val="006F1B3D"/>
    <w:rsid w:val="00AD0C53"/>
    <w:rsid w:val="00D95D00"/>
    <w:rsid w:val="00DF0A44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D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D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Susan</dc:creator>
  <cp:lastModifiedBy>Susan Richmond</cp:lastModifiedBy>
  <cp:revision>5</cp:revision>
  <cp:lastPrinted>2015-09-07T17:59:00Z</cp:lastPrinted>
  <dcterms:created xsi:type="dcterms:W3CDTF">2015-09-19T20:30:00Z</dcterms:created>
  <dcterms:modified xsi:type="dcterms:W3CDTF">2015-09-19T20:48:00Z</dcterms:modified>
</cp:coreProperties>
</file>